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47" w:rsidRPr="00440947" w:rsidRDefault="00440947" w:rsidP="00440947">
      <w:pPr>
        <w:autoSpaceDE w:val="0"/>
        <w:spacing w:line="240" w:lineRule="auto"/>
        <w:jc w:val="center"/>
        <w:rPr>
          <w:rFonts w:ascii="Segoe UI" w:eastAsia="MyriadPro-Semibold" w:hAnsi="Segoe UI" w:cs="Segoe UI"/>
          <w:sz w:val="18"/>
          <w:szCs w:val="36"/>
        </w:rPr>
      </w:pPr>
      <w:r w:rsidRPr="00440947">
        <w:rPr>
          <w:rFonts w:ascii="Segoe UI" w:eastAsia="MyriadPro-Semibold" w:hAnsi="Segoe UI" w:cs="Segoe UI"/>
          <w:sz w:val="18"/>
          <w:szCs w:val="36"/>
        </w:rPr>
        <w:t>Általános Szerződési Feltételek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hAnsi="Segoe UI" w:cs="Segoe UI"/>
          <w:sz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20"/>
        </w:rPr>
      </w:pPr>
      <w:r w:rsidRPr="00440947">
        <w:rPr>
          <w:rFonts w:ascii="Segoe UI" w:eastAsia="MyriadPro-Regular" w:hAnsi="Segoe UI" w:cs="Segoe UI"/>
          <w:sz w:val="18"/>
          <w:szCs w:val="20"/>
        </w:rPr>
        <w:t xml:space="preserve">Szolgáltató neve: </w:t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>Li</w:t>
      </w:r>
      <w:r>
        <w:rPr>
          <w:rFonts w:ascii="Segoe UI" w:eastAsia="MyriadPro-Regular" w:hAnsi="Segoe UI" w:cs="Segoe UI"/>
          <w:sz w:val="18"/>
          <w:szCs w:val="20"/>
        </w:rPr>
        <w:t>feTime Media</w:t>
      </w:r>
      <w:r w:rsidRPr="00440947">
        <w:rPr>
          <w:rFonts w:ascii="Segoe UI" w:eastAsia="MyriadPro-Regular" w:hAnsi="Segoe UI" w:cs="Segoe UI"/>
          <w:sz w:val="18"/>
          <w:szCs w:val="20"/>
        </w:rPr>
        <w:t xml:space="preserve">  Kft.  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20"/>
        </w:rPr>
      </w:pPr>
      <w:r w:rsidRPr="00440947">
        <w:rPr>
          <w:rFonts w:ascii="Segoe UI" w:eastAsia="MyriadPro-Regular" w:hAnsi="Segoe UI" w:cs="Segoe UI"/>
          <w:sz w:val="18"/>
          <w:szCs w:val="20"/>
        </w:rPr>
        <w:t xml:space="preserve">Székhely: </w:t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>1021 Budapet, Hűvösvölgyi út 75/A.</w:t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20"/>
        </w:rPr>
      </w:pPr>
      <w:r w:rsidRPr="00440947">
        <w:rPr>
          <w:rFonts w:ascii="Segoe UI" w:eastAsia="MyriadPro-Regular" w:hAnsi="Segoe UI" w:cs="Segoe UI"/>
          <w:sz w:val="18"/>
          <w:szCs w:val="20"/>
        </w:rPr>
        <w:t xml:space="preserve">Adószám: </w:t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>10424702-2-41</w:t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20"/>
        </w:rPr>
      </w:pPr>
      <w:r w:rsidRPr="00440947">
        <w:rPr>
          <w:rFonts w:ascii="Segoe UI" w:eastAsia="MyriadPro-Regular" w:hAnsi="Segoe UI" w:cs="Segoe UI"/>
          <w:sz w:val="18"/>
          <w:szCs w:val="20"/>
        </w:rPr>
        <w:t xml:space="preserve">Cégjegyzékszám: </w:t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>01-09-070334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20"/>
        </w:rPr>
      </w:pPr>
      <w:r w:rsidRPr="00440947">
        <w:rPr>
          <w:rFonts w:ascii="Segoe UI" w:eastAsia="MyriadPro-Regular" w:hAnsi="Segoe UI" w:cs="Segoe UI"/>
          <w:sz w:val="18"/>
          <w:szCs w:val="20"/>
        </w:rPr>
        <w:t xml:space="preserve">Bankszámlaszám: </w:t>
      </w:r>
      <w:r w:rsidRPr="00440947"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 xml:space="preserve">10404089-40810913-00000000 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20"/>
        </w:rPr>
      </w:pPr>
      <w:r w:rsidRPr="00440947">
        <w:rPr>
          <w:rFonts w:ascii="Segoe UI" w:eastAsia="MyriadPro-Regular" w:hAnsi="Segoe UI" w:cs="Segoe UI"/>
          <w:sz w:val="18"/>
          <w:szCs w:val="20"/>
        </w:rPr>
        <w:t xml:space="preserve">Nemzetközi számlaszám (IBAN): </w:t>
      </w:r>
      <w:r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 xml:space="preserve">HU96 1040 4089 4081 0913 0000 0000 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20"/>
        </w:rPr>
      </w:pPr>
      <w:r w:rsidRPr="00440947">
        <w:rPr>
          <w:rFonts w:ascii="Segoe UI" w:eastAsia="MyriadPro-Regular" w:hAnsi="Segoe UI" w:cs="Segoe UI"/>
          <w:sz w:val="18"/>
          <w:szCs w:val="20"/>
        </w:rPr>
        <w:t xml:space="preserve">Banki azonosító: </w:t>
      </w:r>
      <w:r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>
        <w:rPr>
          <w:rFonts w:ascii="Segoe UI" w:eastAsia="MyriadPro-Regular" w:hAnsi="Segoe UI" w:cs="Segoe UI"/>
          <w:sz w:val="18"/>
          <w:szCs w:val="20"/>
        </w:rPr>
        <w:tab/>
      </w:r>
      <w:r w:rsidRPr="00440947">
        <w:rPr>
          <w:rFonts w:ascii="Segoe UI" w:eastAsia="MyriadPro-Regular" w:hAnsi="Segoe UI" w:cs="Segoe UI"/>
          <w:sz w:val="18"/>
          <w:szCs w:val="20"/>
        </w:rPr>
        <w:t>0408-152953-100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22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 xml:space="preserve">A </w:t>
      </w:r>
      <w:r w:rsidRPr="00440947">
        <w:rPr>
          <w:rFonts w:ascii="Segoe UI" w:eastAsia="MyriadPro-Regular" w:hAnsi="Segoe UI" w:cs="Segoe UI"/>
          <w:b/>
          <w:sz w:val="18"/>
          <w:szCs w:val="18"/>
        </w:rPr>
        <w:t>LifeTime Media</w:t>
      </w:r>
      <w:r w:rsidRPr="00440947">
        <w:rPr>
          <w:rFonts w:ascii="Segoe UI" w:eastAsia="MyriadPro-Bold" w:hAnsi="Segoe UI" w:cs="Segoe UI"/>
          <w:b/>
          <w:bCs/>
          <w:sz w:val="18"/>
          <w:szCs w:val="18"/>
        </w:rPr>
        <w:t xml:space="preserve"> Kft.</w:t>
      </w:r>
      <w:r w:rsidRPr="00440947">
        <w:rPr>
          <w:rFonts w:ascii="Segoe UI" w:eastAsia="MyriadPro-Regular" w:hAnsi="Segoe UI" w:cs="Segoe UI"/>
          <w:b/>
          <w:bCs/>
          <w:sz w:val="18"/>
          <w:szCs w:val="18"/>
        </w:rPr>
        <w:t xml:space="preserve"> </w:t>
      </w:r>
      <w:r w:rsidRPr="00440947">
        <w:rPr>
          <w:rFonts w:ascii="Segoe UI" w:eastAsia="MyriadPro-Regular" w:hAnsi="Segoe UI" w:cs="Segoe UI"/>
          <w:sz w:val="18"/>
          <w:szCs w:val="18"/>
        </w:rPr>
        <w:t>(továbbiakban: Szolgáltató) által értékesített online és offline médiumok hirdetéseinek megrendelése egyben a Szolgáltató Általános Szerződési Feltételeinek – továbbiakban ÁSZF - elfogadását és a kiadásra vonatkozó szerződést jelenti. A Szolgáltató Általános Szerződési Feltételei mindaddig érvényben vannak, míg a módosított / aktualizált ÁSZF-t a Szolgáltató a honlapján közzé nem teszi, illetve annak változásárairól írásban nem értesíti partnereit – legkésőbb 1 hónappal a hatálybalépés előtt).</w:t>
      </w:r>
    </w:p>
    <w:p w:rsid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widowControl w:val="0"/>
        <w:numPr>
          <w:ilvl w:val="0"/>
          <w:numId w:val="3"/>
        </w:numPr>
        <w:suppressAutoHyphens/>
        <w:autoSpaceDE w:val="0"/>
        <w:spacing w:line="240" w:lineRule="auto"/>
        <w:ind w:left="0"/>
        <w:jc w:val="center"/>
        <w:rPr>
          <w:rFonts w:ascii="Segoe UI" w:eastAsia="MyriadPro-Semibold" w:hAnsi="Segoe UI" w:cs="Segoe UI"/>
          <w:sz w:val="18"/>
          <w:szCs w:val="28"/>
        </w:rPr>
      </w:pPr>
      <w:r w:rsidRPr="00440947">
        <w:rPr>
          <w:rFonts w:ascii="Segoe UI" w:eastAsia="MyriadPro-Semibold" w:hAnsi="Segoe UI" w:cs="Segoe UI"/>
          <w:sz w:val="18"/>
          <w:szCs w:val="28"/>
        </w:rPr>
        <w:t>Általános rendelkezések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Semibold" w:hAnsi="Segoe UI" w:cs="Segoe UI"/>
          <w:sz w:val="18"/>
          <w:szCs w:val="2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Szolgáltató által értékesített hirdetések a Szolgáltató és a reklámozó (vagy a reklámozó megbízásából a reklámszolgáltató, az ügynökség; a továbbiakban együtt: Reklámozó) közötti eseti vagy éves szerződések alapján kerülnek közzétételre. A jelen általános feltételek valamennyi szerződésre irányadók, feltéve, hogy a felek megállapodása ettől eltérően nem rendelkezik.</w:t>
      </w:r>
    </w:p>
    <w:p w:rsid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jc w:val="center"/>
        <w:rPr>
          <w:rFonts w:ascii="Segoe UI" w:eastAsia="MyriadPro-Semibold" w:hAnsi="Segoe UI" w:cs="Segoe UI"/>
          <w:sz w:val="18"/>
          <w:szCs w:val="28"/>
        </w:rPr>
      </w:pPr>
      <w:r w:rsidRPr="00440947">
        <w:rPr>
          <w:rFonts w:ascii="Segoe UI" w:eastAsia="MyriadPro-Semibold" w:hAnsi="Segoe UI" w:cs="Segoe UI"/>
          <w:sz w:val="18"/>
          <w:szCs w:val="28"/>
        </w:rPr>
        <w:t>II. A szerződés létrejötte, a megrendelés tartalma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Semibold" w:hAnsi="Segoe UI" w:cs="Segoe UI"/>
          <w:b/>
          <w:sz w:val="18"/>
          <w:szCs w:val="2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1.  A Szolgáltató a hirdetés megrendelését kizárólag írásban – akár az általa kidolgozott megrendelőlapon, akár a reklámozó által írt megrendelő alapján – a megrendelő cégszerű aláírásával fogadja el.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megrendelésben a reklámozónak azonosítható módon – a cég- vagy egyéb hivatalos nyilvántartásban szereplő adatokkal egyezően – meg kell neveznie: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 Reklámozó vállalkozása nevét – Ügynökség esetén a hirdető ügyfél nevét is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Reklámozó székhelyét és postacímét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Reklámozó adó- és bankszámlaszámát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Reklámozó számlázási címét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Reklámozó részéről kijelölt kapcsolattartó személy nevét, e-mail és telefonos elérhetőségét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hirdetendő termék vagy szolgáltatás és a megrendelés pontosan meghatározott – elérési út szerinti – felületét és időtartamát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kreatívok leadási határidejét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megbízási díj és a kedvezmények mértékét</w:t>
      </w:r>
    </w:p>
    <w:p w:rsidR="00440947" w:rsidRPr="00440947" w:rsidRDefault="00440947" w:rsidP="00440947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megbízási díj fizetésének módját és fizetési határidejét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2.  A szerződés azzal jön létre, hogy a Szolgáltató a megrendelést visszaigazolja. Az esetleges hiányok pótlására vonatkozó felhívás önmagában nem minősül visszaigazolásnak. A hirdetés megjelentetésére csak a szerződés megkötése után kerülhet sor.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3.  Szolgáltató fenntartja magának azt a jogot,  hogy a hirdetési megrendelést elsősorban az ÁSZF vonatkozó pontjai alapján, illetve egyéb ok közlése nélkül elutasítson, még akkor is, ha ismétlődő megjelenés esetén a megrendelés egy részét már teljesítette.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 xml:space="preserve">4.  </w:t>
      </w:r>
      <w:r>
        <w:rPr>
          <w:rFonts w:ascii="Segoe UI" w:eastAsia="MyriadPro-Regular" w:hAnsi="Segoe UI" w:cs="Segoe UI"/>
          <w:sz w:val="18"/>
          <w:szCs w:val="18"/>
        </w:rPr>
        <w:t xml:space="preserve"> </w:t>
      </w:r>
      <w:r w:rsidRPr="00440947">
        <w:rPr>
          <w:rFonts w:ascii="Segoe UI" w:eastAsia="MyriadPro-Regular" w:hAnsi="Segoe UI" w:cs="Segoe UI"/>
          <w:sz w:val="18"/>
          <w:szCs w:val="18"/>
        </w:rPr>
        <w:t>Szolgáltató a megrendelés bármely nemű módosítását kizárólag írásban fogadja el.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5.  A hirdetési szerződésre a médiaajánlatokban meghatározott árak és hirdetési díjkedvezmények az irányadók. A Szolgáltató a szerződésben csak a Reklámozó által megjelölt kedvezményeket tudja jogosultság esetén biztosítani. A kedvezmények mértékének nem vagy téves megjelölése a kedvezmények meg nem adását vonja maga után.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lastRenderedPageBreak/>
        <w:t>6.  A Reklámozó tudomásul veszi, hogy az árlistában szereplő összegek csak a hirdetési felület árára vonatkoznak, így amennyiben a hirdetés közzétételéhez elengedhetetlenül szükséges eseti költségek merülnek fel, azok Reklámozót terhelik.  Amennyiben Reklámozó a hirdetés előállításához vagy annak esetleges átdolgozásához, kijavításához a Szolgáltató segítségét kéri, ezt a Szolgáltató külön díjazásért vállalja.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spacing w:line="240" w:lineRule="auto"/>
        <w:rPr>
          <w:rFonts w:ascii="Segoe UI" w:eastAsia="MyriadPro-Semibold" w:hAnsi="Segoe UI" w:cs="Segoe UI"/>
          <w:sz w:val="18"/>
          <w:szCs w:val="28"/>
        </w:rPr>
      </w:pPr>
    </w:p>
    <w:p w:rsidR="00440947" w:rsidRPr="00440947" w:rsidRDefault="00440947" w:rsidP="00440947">
      <w:pPr>
        <w:spacing w:line="240" w:lineRule="auto"/>
        <w:jc w:val="center"/>
        <w:rPr>
          <w:rFonts w:ascii="Segoe UI" w:eastAsia="MyriadPro-Semibold" w:hAnsi="Segoe UI" w:cs="Segoe UI"/>
          <w:sz w:val="18"/>
          <w:szCs w:val="28"/>
        </w:rPr>
      </w:pPr>
      <w:r w:rsidRPr="00440947">
        <w:rPr>
          <w:rFonts w:ascii="Segoe UI" w:eastAsia="MyriadPro-Semibold" w:hAnsi="Segoe UI" w:cs="Segoe UI"/>
          <w:sz w:val="18"/>
          <w:szCs w:val="28"/>
        </w:rPr>
        <w:t>III. Hirdetések és a szerződés lebonyolítása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 xml:space="preserve">1. </w:t>
      </w:r>
      <w:r>
        <w:rPr>
          <w:rFonts w:ascii="Segoe UI" w:eastAsia="MyriadPro-Regular" w:hAnsi="Segoe UI" w:cs="Segoe UI"/>
          <w:sz w:val="18"/>
          <w:szCs w:val="18"/>
        </w:rPr>
        <w:t xml:space="preserve"> </w:t>
      </w:r>
      <w:r w:rsidRPr="00440947">
        <w:rPr>
          <w:rFonts w:ascii="Segoe UI" w:eastAsia="MyriadPro-Regular" w:hAnsi="Segoe UI" w:cs="Segoe UI"/>
          <w:sz w:val="18"/>
          <w:szCs w:val="18"/>
        </w:rPr>
        <w:t>A reklámozónak a megrendeléshez kész hirdetési anyagot kell mellékelnie. Abban az esetben, ha a Reklámozó a hirdetését nyomdakészen (filmen vagy elektronikus nyomdai felhasználásra alkalmas formában) juttatja el a Szolgáltatóhoz, a hirdetés sajtóhibájáért a Szolgáltató nem vállal felelősséget.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nyomdakész formában megküldött hirdetéshez a Szolgáltató minden esetben proofot kér. Amennyiben a Reklámozó nem küld proofot, a színhibából eredő reklamációt a Szolgáltató nem fogadja el.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2.  Amennyiben az anyag átadása után merül fel valamilyen változtatás iránti igény, ennek bejelentésekor új nyomdakész anyagról is köteles gondoskodni a Reklámozó. Változtatás iránti igény bejelentése és az új anyag átadásának a leadási határidőig meg kell történnie. Ha bejelentett változtatási igény után az új anyagot a Reklámozó határidőre nem küldi meg, a Szolgáltató az eredeti reklámot teszi közzé, vagy – ha a Reklámozó ezt kéri – a közzétételt mellőzi, de ebben az esetben a hirdetés teljes árát ki kell fizetni.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 xml:space="preserve">3. </w:t>
      </w:r>
      <w:r>
        <w:rPr>
          <w:rFonts w:ascii="Segoe UI" w:eastAsia="MyriadPro-Regular" w:hAnsi="Segoe UI" w:cs="Segoe UI"/>
          <w:sz w:val="18"/>
          <w:szCs w:val="18"/>
        </w:rPr>
        <w:t xml:space="preserve"> </w:t>
      </w:r>
      <w:r w:rsidRPr="00440947">
        <w:rPr>
          <w:rFonts w:ascii="Segoe UI" w:eastAsia="MyriadPro-Regular" w:hAnsi="Segoe UI" w:cs="Segoe UI"/>
          <w:sz w:val="18"/>
          <w:szCs w:val="18"/>
        </w:rPr>
        <w:t>Szolgáltató az online hirdetések kreatívjait megjelenés előtt ellenőrzi. Az ellenőrzés során felmerülő technológiai és tartalmi hibák megjelenés előtti korrigálása a Reklámozó felelőssége. A hirdetések tesztelése során az alábbi főbb kritériumok az irányadóak:</w:t>
      </w:r>
    </w:p>
    <w:p w:rsidR="00440947" w:rsidRPr="00440947" w:rsidRDefault="00440947" w:rsidP="00440947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ind w:left="567" w:hanging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jpg, gif, animált gif, flash vagy egyéb videó formátum minősége,</w:t>
      </w:r>
    </w:p>
    <w:p w:rsidR="00440947" w:rsidRPr="00440947" w:rsidRDefault="00440947" w:rsidP="00440947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ind w:left="567" w:hanging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Szolgáltató által megadott (pixel és Mb) mérettel való egyezőség,</w:t>
      </w:r>
    </w:p>
    <w:p w:rsidR="00440947" w:rsidRPr="00440947" w:rsidRDefault="00440947" w:rsidP="00440947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ind w:left="567" w:hanging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hirdetési szervereken keresztül érkező vagy a Reklámozó számlálási igénye esetén a hirdetésekbe ágyazott mérőkódok helyessége,</w:t>
      </w:r>
    </w:p>
    <w:p w:rsidR="00440947" w:rsidRPr="00440947" w:rsidRDefault="00440947" w:rsidP="00440947">
      <w:pPr>
        <w:widowControl w:val="0"/>
        <w:numPr>
          <w:ilvl w:val="0"/>
          <w:numId w:val="2"/>
        </w:numPr>
        <w:suppressAutoHyphens/>
        <w:autoSpaceDE w:val="0"/>
        <w:spacing w:line="240" w:lineRule="auto"/>
        <w:ind w:left="567" w:hanging="567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hirdetésbe ágyazott érkező oldal (landingpage) helyessége.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4.  A Reklámozó kijelenti, hogy az általa közölt adatok és átadott anyag tartalma a valóságnak megfelel, és nem sérti harmadik személy jogait (szerzői jogok, iparjogvédelmi oltalom alatt álló alkotásokhoz, megjelölésekhez fűződő jogok, személyhez fűződő jogok, stb.). Tudomásul veszi egyúttal, hogy az adatok valóságáért, a reklámban közölt információk helytállóságáért és harmadik személyek fent felsorolt jogainak a reklám által történő megsértéséért kizárólag őt terheli felelősség. Szolgáltató az ezzel kapcsolatos jogvitákból keletkező hátrányokat a megrendelőre hárítja.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 xml:space="preserve">5.  A Reklámozó tudomásul veszi, hogy nem tehető közzé olyan hirdetés, amely jogszabályba ütközik, vagy sérti a Magyar Reklámetikai Kódex normáit. Az ilyen jellegű, valamint a lap arculatával, szellemiségével össze nem egyeztethető, továbbá a technikai formája miatt nem realizálható hirdetések közzétételét a Szolgáltató jogosult megtagadni. 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6.  A reklámozónak a hirdetés szövegét a Magyar Tudományos Akadémia által közzétett helyesírás szabályoknak megfelelően kell elkészítenie. (Kivételt képezhetnek a szójátékok, a szójáték-jellegnek azonban egyértelműen ki kell tűnnie.) A Szolgáltató a reklám szövegében a magyar helyesírás szabályainak megfelelő javításokat a Reklámozóval való egyeztetés nélkül is köteles elvégezni. Ha a Szolgáltató megítélése szerint hirdetés szövegében – értelmezési probléma miatt vagy egyéb okból – érdemi változtatásra is szükség van, ezt a Reklámozóval egyeztetve kell elvégezni.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7. A Szolgáltató csak a Reklámozó kifejezett írásos kérésére küld korrektúra levonatot és színnyomatot. A felmerülő költségek minden esetben a Reklámozót terhelik. Amennyiben a Reklámozó a próbanyomatot a megadott határidőig visszaküldi, a Szolgáltató a kért változtatásokat figyelembe veszi. Ha a határidőn belül változtatás iránti kérelem nem érkezik, a Szolgáltató a hirdetést elfogadottnak tekinti. A hallgatás minden esetben a nyomtatási engedély megadását jelenti.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8. A hirdetések kinyomtatásánál a Szolgáltató garantálja a nyomtatási technológia feltételeitől elvárható minőséget. Ha a kinyomtatott hirdetés az előállítás technikai feltételeihez képest gyengébb minőségben vagy hibásan jelenik meg, a Reklámozónak igénye lehet kompenzációra, de csak abban a mértékben, amelyben a hirdetéssel elérni kívánt cél csorbát szenvedett.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9.  Ha a megfelelő időben leadott hirdetés a Szolgáltatón kívül álló okból nem jelenik meg, a Szolgáltató a hirdetést a Reklámozóval egyeztetett más lapszámban megjelenteti.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10. Szolgáltató fenntartja a jogot a kiadványok megjelenési időpontjának módosítására, továbbá a kiadvány megjelenésének törlésére, erről azonban minden esetben köteles előre, írásban értesíteni a Reklámozót. A megjelenések időpontjának módosításából vagy a kiadvány megjelenésének törléséből eredő károkért a Szolgáltatót felelősség és kártérítési kötelezettség nem terheli.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11.  „Elmaradt haszon” címén a Szolgáltató nem vonható felelősségre, kártérítési felelőssége kizárt.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12.  A hirdetésnek a lapban való elhelyezésére az adott lap struktúrájától és az igények számától függően fogad el a Szolgáltató. Az ilyen igényt a szerződés megkötésekor egyeztetni kell. Amennyiben az egyeztetés ellenére a hirdetés nem a kért speciális helyen jelenik meg, a Szolgáltatóval szemben kárigény nem érvényesíthető, de ha a megállapodásban megjelölt helyért felárat számított fel, ezt Szolgáltató köteles visszafizetni.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13. A Szolgáltató a reklámozótól átvett kéziratos, illetve nyomdakész anyagot csak a reklámozó kifejezett, az átadáskor írásban jelzett kívánságára küldi vissza. Ezen anyagokat a Szolgáltató a reklám megjelenését követő egy hónapig őrzi meg. Ezt követően – eltérő megállapodás hiányában – az anyagokat a Szolgáltató megsemmisíti.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jc w:val="center"/>
        <w:rPr>
          <w:rFonts w:ascii="Segoe UI" w:eastAsia="MyriadPro-Semibold" w:hAnsi="Segoe UI" w:cs="Segoe UI"/>
          <w:sz w:val="18"/>
          <w:szCs w:val="28"/>
        </w:rPr>
      </w:pPr>
      <w:r w:rsidRPr="00440947">
        <w:rPr>
          <w:rFonts w:ascii="Segoe UI" w:eastAsia="MyriadPro-Semibold" w:hAnsi="Segoe UI" w:cs="Segoe UI"/>
          <w:sz w:val="18"/>
          <w:szCs w:val="28"/>
        </w:rPr>
        <w:t>IV. Hirdetési díjak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Semibold" w:hAnsi="Segoe UI" w:cs="Segoe UI"/>
          <w:sz w:val="18"/>
          <w:szCs w:val="2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1.  A Szolgáltató hirdetési árlistát alkalmaz, amely tartalmazza a hirdetési árakat, a technikai adatokat, valamint a hirdetési felületek méreteit és ezek árait, továbbá az általános kedvezménykonstrukciókat.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 xml:space="preserve">2. A Reklámozó az árlista szerint lekötheti a tárgyévre kedvezményt biztosító hirdetési mennyiséget. Ebben az esetben már első hirdetés árát is kedvezményesen fizetheti. Amennyiben azonban a hirdető a tárgyévre előre lekötött mennyiséget részben lemondja, a kedvezmények rendszere a ténylegesen leadott hirdetési mennyiség függvényében változik, esetleg a kedvezmény elvész. Ebben az esetben a Reklámozónak a korábban kedvezményesen kifizetett hirdetések díját is megfelelően ki kell egészítenie. Ugyanígy kell elszámolni a Szolgáltatóval akkor is, ha az év végén derül ki, hogy a Reklámozó a vállalt hirdetési mennyiséget nem tetette közzé. 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hAnsi="Segoe UI" w:cs="Segoe UI"/>
          <w:sz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3. A Szolgáltató fenntartja magának a jogot, hogy az árait év közben megváltoztassa. A hirdetési árak megváltoztatása esetén a Szolgáltató az új árakat a változás hatályba lépését megelőzően legalább 30 nappal köteles közzétenni. A változások közzététele előtt kötött megállapodások esetén – a megjelenés idejétől függetlenül – a Szolgáltató a régi árakat alkalmazza.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4.  Az előre megrendelt hirdetés határidőn túli leadása esetén – ha a Szolgáltató a hirdetést még közzé tudja tenni –, a reklámozónak kötbért kell fizetnie, amely a hirdetési díj 10%-a.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 xml:space="preserve">Abban az esetben, ha a késedelem miatt a megjelentetésre már nincs lehetőség, vagy ha a Reklámozó nem bocsátotta Szolgáltató rendelkezésre a hirdetési anyagokat a kötbér mértéke megegyezik a hirdetési díj teljes összegével. 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5.  A megrendelések leadásának határideje után a megrendelés alapján rögzített hirdetési felületre, mellékletre, behúzásra vagy beragasztásra adott megbízás visszavonása nem lehetséges. Ebben az esetben a reklámozónak a szerződésben megállapított díj teljes összegét ki kell fizetni. Ezt a határidőt a mindenkori érvényes médiaajánlatok tartalmazzák.</w:t>
      </w:r>
    </w:p>
    <w:p w:rsid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jc w:val="center"/>
        <w:rPr>
          <w:rFonts w:ascii="Segoe UI" w:eastAsia="MyriadPro-Semibold" w:hAnsi="Segoe UI" w:cs="Segoe UI"/>
          <w:sz w:val="18"/>
          <w:szCs w:val="28"/>
        </w:rPr>
      </w:pPr>
      <w:r w:rsidRPr="00440947">
        <w:rPr>
          <w:rFonts w:ascii="Segoe UI" w:eastAsia="MyriadPro-Semibold" w:hAnsi="Segoe UI" w:cs="Segoe UI"/>
          <w:sz w:val="18"/>
          <w:szCs w:val="28"/>
        </w:rPr>
        <w:t>IV. Lemondás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Semibold" w:hAnsi="Segoe UI" w:cs="Segoe UI"/>
          <w:sz w:val="18"/>
          <w:szCs w:val="2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 xml:space="preserve">1.  A hirdetési szerződést a felek közös megegyezéssel írásban megszüntethetik. 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b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lastRenderedPageBreak/>
        <w:t>2.  A már megrendelt hirdetés a megjelenés előtti 60. napig minden következmény nélkül lemondható. Éves vagy többszöri megjelenésre vonatkozó hirdetés lemondása esetén azonban a Szolgáltató megvonhatja az éves vagy többszöri megjelenéshez rendelt kedvezményeket az első hirdetés megjelenésének időpontjára visszamenőleges hatállyal.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 megrendelések leadási határideje előtt 40 napon belül lemondott hirdetési megrendelések esetén a Szolgáltató a hirdetési díj 50 %-ának, 20 napon belüli lemondás esetén pedig a hirdetés 80%-ának megfelelő összegű kötbért számít fel. Abban az esetben, ha a leadási határidő lejártáig a reklámozó nem bocsátja a Szolgáltató rendelkezésére a megállapított nyomdai anyagokat, megállapodás szerint a mellékleteket, illetve befűzésre, beragasztásra kerülő anyagokat, ami a szerződés meghiúsulásához vezet, a Szolgáltató fenntartja a jogot a teljes hirdetési díj kiszámlázására és behajtására.</w:t>
      </w:r>
    </w:p>
    <w:p w:rsid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jc w:val="center"/>
        <w:rPr>
          <w:rFonts w:ascii="Segoe UI" w:eastAsia="MyriadPro-Semibold" w:hAnsi="Segoe UI" w:cs="Segoe UI"/>
          <w:sz w:val="18"/>
          <w:szCs w:val="28"/>
        </w:rPr>
      </w:pPr>
      <w:r w:rsidRPr="00440947">
        <w:rPr>
          <w:rFonts w:ascii="Segoe UI" w:eastAsia="MyriadPro-Semibold" w:hAnsi="Segoe UI" w:cs="Segoe UI"/>
          <w:sz w:val="18"/>
          <w:szCs w:val="28"/>
        </w:rPr>
        <w:t>V. Fizetési feltételek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Semibold" w:hAnsi="Segoe UI" w:cs="Segoe UI"/>
          <w:sz w:val="18"/>
          <w:szCs w:val="2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1.  A megjelent hirdetésekről Szolgáltató számlát állít ki, melyet eljuttat a Reklámozó címére. Reklámozó vállalja a kiállított számla fizetési határidőn belüli kiegyenlítését. Eltérő megállapodás hiányában a fizetési határidő 15 nap.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2.  A megjelent hirdetéssel, illetőleg a számlával kapcsolatos reklamációnak a számla kiállítását követő 8 napon belül van helye. A Reklámozó mindennemű reklamációt írásban köteles Szolgáltatónak bejelenteni.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3.   Késedelmes fizetés esetén a Reklámozó a Ptk.-ban foglalt mértékű késedelmi kamatot köteles fizetni.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4. Fizetési késedelem esetén a Szolgáltató fenntartja magának a jogot, hogy a Reklámozó megbízásait ne teljesítse, illetőleg szüneteltesse mindaddig, amíg a Reklámozó a megelőző számlák ellenértékét ki nem egyenlíti.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Amennyiben a Reklámozó többszöri felszólításra sem fizeti meg a hirdetési díjakat, a Szolgáltató egyoldalú nyilatkozatával a póthatáridő lejártát követő naptól kezdődően azonnali hatállyal felmondhatja a szerződést. Ebben az esetben a Reklámozó köteles megtéríteni a már teljesített szolgáltatások  ellenértékét, azaz megfizetni a Szolgáltatónak a már megjelent hirdetések után járó díjakat, ezenfelül köles a Szolgáltató által  a IV. 2. pont szerint nyújtott kedvezmény pénzbeli ellenértékét – az első megjelenéstől számítottan – megtéríteni a késedelmi kamattal együtt. Szolgáltató fenntartja magának a jogot, hogy számlakövetelését bármikor érvényesítse.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952395">
        <w:rPr>
          <w:rFonts w:ascii="Segoe UI" w:eastAsia="MyriadPro-Regular" w:hAnsi="Segoe UI" w:cs="Segoe UI"/>
          <w:sz w:val="18"/>
          <w:szCs w:val="18"/>
        </w:rPr>
        <w:t xml:space="preserve">5.  </w:t>
      </w:r>
      <w:r w:rsidRPr="00440947">
        <w:rPr>
          <w:rFonts w:ascii="Segoe UI" w:eastAsia="MyriadPro-Regular" w:hAnsi="Segoe UI" w:cs="Segoe UI"/>
          <w:sz w:val="18"/>
          <w:szCs w:val="18"/>
        </w:rPr>
        <w:t>Reklámozó csak akkor jogosult a Szolgáltató felé költségek felszámolására, fizetés visszatartására vagy a fizetendő összeg csökkentésére, ha a Szolgáltató ezt írásban megerősítette, illetve az ilyen irányú igények jogerőre emelkedtek.</w:t>
      </w:r>
    </w:p>
    <w:p w:rsidR="00440947" w:rsidRDefault="00440947" w:rsidP="00440947">
      <w:pPr>
        <w:autoSpaceDE w:val="0"/>
        <w:spacing w:line="240" w:lineRule="auto"/>
        <w:jc w:val="center"/>
        <w:rPr>
          <w:rFonts w:ascii="Segoe UI" w:eastAsia="MyriadPro-Semibold" w:hAnsi="Segoe UI" w:cs="Segoe UI"/>
          <w:sz w:val="18"/>
          <w:szCs w:val="28"/>
        </w:rPr>
      </w:pPr>
    </w:p>
    <w:p w:rsidR="00952395" w:rsidRPr="00440947" w:rsidRDefault="00952395" w:rsidP="00440947">
      <w:pPr>
        <w:autoSpaceDE w:val="0"/>
        <w:spacing w:line="240" w:lineRule="auto"/>
        <w:jc w:val="center"/>
        <w:rPr>
          <w:rFonts w:ascii="Segoe UI" w:eastAsia="MyriadPro-Semibold" w:hAnsi="Segoe UI" w:cs="Segoe UI"/>
          <w:sz w:val="18"/>
          <w:szCs w:val="28"/>
        </w:rPr>
      </w:pPr>
    </w:p>
    <w:p w:rsidR="00440947" w:rsidRPr="00440947" w:rsidRDefault="00440947" w:rsidP="00440947">
      <w:pPr>
        <w:autoSpaceDE w:val="0"/>
        <w:spacing w:line="240" w:lineRule="auto"/>
        <w:jc w:val="center"/>
        <w:rPr>
          <w:rFonts w:ascii="Segoe UI" w:eastAsia="MyriadPro-Semibold" w:hAnsi="Segoe UI" w:cs="Segoe UI"/>
          <w:sz w:val="18"/>
          <w:szCs w:val="28"/>
        </w:rPr>
      </w:pPr>
      <w:r w:rsidRPr="00440947">
        <w:rPr>
          <w:rFonts w:ascii="Segoe UI" w:eastAsia="MyriadPro-Semibold" w:hAnsi="Segoe UI" w:cs="Segoe UI"/>
          <w:sz w:val="18"/>
          <w:szCs w:val="28"/>
        </w:rPr>
        <w:t>VI. Felelősségi szabályok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Semibold" w:hAnsi="Segoe UI" w:cs="Segoe UI"/>
          <w:sz w:val="18"/>
          <w:szCs w:val="2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952395">
        <w:rPr>
          <w:rFonts w:ascii="Segoe UI" w:eastAsia="MyriadPro-Regular" w:hAnsi="Segoe UI" w:cs="Segoe UI"/>
          <w:sz w:val="18"/>
          <w:szCs w:val="18"/>
        </w:rPr>
        <w:t xml:space="preserve">1.  </w:t>
      </w:r>
      <w:r w:rsidRPr="00440947">
        <w:rPr>
          <w:rFonts w:ascii="Segoe UI" w:eastAsia="MyriadPro-Regular" w:hAnsi="Segoe UI" w:cs="Segoe UI"/>
          <w:sz w:val="18"/>
          <w:szCs w:val="18"/>
        </w:rPr>
        <w:t>A Reklámozó felel minden olyan hibáért és kárért, amely az általa biztosított eredeti anyagok (ábrák, grafikák, emblémák) rossz minőségéből vagy hiányosságából fakad. A nyomdai megjelenítés során megfelelő eredetik esetén is előfordulhatnak kismértékű szín- és tónusbeli eltérések, amelyek azonban nem minősülnek hibás teljesítésnek.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952395">
        <w:rPr>
          <w:rFonts w:ascii="Segoe UI" w:eastAsia="MyriadPro-Regular" w:hAnsi="Segoe UI" w:cs="Segoe UI"/>
          <w:sz w:val="18"/>
          <w:szCs w:val="18"/>
        </w:rPr>
        <w:t xml:space="preserve">2.  </w:t>
      </w:r>
      <w:r w:rsidRPr="00440947">
        <w:rPr>
          <w:rFonts w:ascii="Segoe UI" w:eastAsia="MyriadPro-Regular" w:hAnsi="Segoe UI" w:cs="Segoe UI"/>
          <w:sz w:val="18"/>
          <w:szCs w:val="18"/>
        </w:rPr>
        <w:t>A Szolgáltató a hirdetés leadását követő változtatásból eredő hibáért csak akkor felelős, ha a változtatás végrehajthatóságát írásban visszaigazolta. Az ilyen változtatások többletköltségei minden esetben a reklámozót terhelik. Amennyiben a reklámozónak folyamatos, több alkalomra szóló szerződése van, és a következő szám leadási határidejének lejártáig nem ad új anyagot, a Szolgáltató automatikusan a legutolsó megjelent hirdetést ismétli meg.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952395">
        <w:rPr>
          <w:rFonts w:ascii="Segoe UI" w:eastAsia="MyriadPro-Regular" w:hAnsi="Segoe UI" w:cs="Segoe UI"/>
          <w:sz w:val="18"/>
          <w:szCs w:val="18"/>
        </w:rPr>
        <w:t xml:space="preserve">3.  </w:t>
      </w:r>
      <w:r w:rsidRPr="00440947">
        <w:rPr>
          <w:rFonts w:ascii="Segoe UI" w:eastAsia="MyriadPro-Regular" w:hAnsi="Segoe UI" w:cs="Segoe UI"/>
          <w:sz w:val="18"/>
          <w:szCs w:val="18"/>
        </w:rPr>
        <w:t>Ha a Reklámozó által átadott nyomdakész anyagban meglévő hibák a Szolgáltatónak történt átadáskor nem vagy csak nehezen voltak felismerhetők, és emiatt a hirdetés hibásan jelenik meg, továbbá ha a reklámozó a próbalenyomatot jóváhagyta, a Szolgáltató a hibás teljesítés miatt nem felel. Nem felel a Szolgáltató a sorozatban megjelenő hirdetésben meglévő hibáért sem, ha a Reklámozó az ismételt megjelenés előtt nem élt reklamációval. Minden egyéb, a Szolgáltató vagy a nyomda terhére felróható teljesítési hiba esetén a reklámozó a hirdetési díj arányos leszállítását, másodsorban pedig a hirdetés ismételt, kifogástalan megjelentetését kérheti.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952395">
        <w:rPr>
          <w:rFonts w:ascii="Segoe UI" w:eastAsia="MyriadPro-Regular" w:hAnsi="Segoe UI" w:cs="Segoe UI"/>
          <w:sz w:val="18"/>
          <w:szCs w:val="18"/>
        </w:rPr>
        <w:lastRenderedPageBreak/>
        <w:t xml:space="preserve">4. </w:t>
      </w:r>
      <w:r w:rsidRPr="00440947">
        <w:rPr>
          <w:rFonts w:ascii="Segoe UI" w:eastAsia="MyriadPro-Regular" w:hAnsi="Segoe UI" w:cs="Segoe UI"/>
          <w:sz w:val="18"/>
          <w:szCs w:val="18"/>
        </w:rPr>
        <w:t>A Szolgáltató mindennemű felelősséget elhárít a kiadványaiban megjelenő behúzott vagy befűzött termékekért, amelyeket nem maga szerkesztett és készített. Az ilyen anyagok közzétételét is jogosult azonban minden olyan esetben visszautasítani, amelyek a reklám visszautasításához vezethetnek.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952395">
        <w:rPr>
          <w:rFonts w:ascii="Segoe UI" w:eastAsia="MyriadPro-Regular" w:hAnsi="Segoe UI" w:cs="Segoe UI"/>
          <w:sz w:val="18"/>
          <w:szCs w:val="18"/>
        </w:rPr>
        <w:t xml:space="preserve">5. </w:t>
      </w:r>
      <w:r w:rsidRPr="00440947">
        <w:rPr>
          <w:rFonts w:ascii="Segoe UI" w:eastAsia="MyriadPro-Regular" w:hAnsi="Segoe UI" w:cs="Segoe UI"/>
          <w:sz w:val="18"/>
          <w:szCs w:val="18"/>
        </w:rPr>
        <w:t>A Reklámozó tudomásul veszi, hogy a Szolgáltatóval szemben kárigény csak a hirdetési ár mértékéig érvényesíthető.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952395">
        <w:rPr>
          <w:rFonts w:ascii="Segoe UI" w:eastAsia="MyriadPro-Regular" w:hAnsi="Segoe UI" w:cs="Segoe UI"/>
          <w:sz w:val="18"/>
          <w:szCs w:val="18"/>
        </w:rPr>
        <w:t xml:space="preserve">6.  </w:t>
      </w:r>
      <w:r w:rsidRPr="00440947">
        <w:rPr>
          <w:rFonts w:ascii="Segoe UI" w:eastAsia="MyriadPro-Regular" w:hAnsi="Segoe UI" w:cs="Segoe UI"/>
          <w:sz w:val="18"/>
          <w:szCs w:val="18"/>
        </w:rPr>
        <w:t>Az egyedi hirdetési vagy a keretszerződésekben foglalt kedvezmények és net-net hirdetési összegek üzleti titok tárgyát képezik, ezekről a szerződő felek csak egymás írásos engedélyével adhatnak információt harmadik fél felé.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  <w:highlight w:val="yellow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Az esetleges vitás kérdések rendezésénél – amennyiben ezekre az eseti szerződések vagy a jelen Általános Szerződési Feltételek nem tartalmaznak rendelkezést – a Polgári törvénykönyv vonatkozó rendelkezései az irányadók. A Szolgáltató és a Reklámozó a közöttük létrejött jogvitát megkísérli elsődlegesen egymás közt egyeztetéssel rendezni. Ennek meghiúsulása vagy eredménytelensége esetén a szolgáltató a Pesti Központi Kerületi Bíróság kizárólagos illetékességét jelöli ki.</w:t>
      </w: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</w:p>
    <w:p w:rsidR="00440947" w:rsidRPr="00440947" w:rsidRDefault="00440947" w:rsidP="00440947">
      <w:pPr>
        <w:autoSpaceDE w:val="0"/>
        <w:spacing w:line="240" w:lineRule="auto"/>
        <w:rPr>
          <w:rFonts w:ascii="Segoe UI" w:eastAsia="MyriadPro-Regular" w:hAnsi="Segoe UI" w:cs="Segoe UI"/>
          <w:sz w:val="18"/>
          <w:szCs w:val="18"/>
        </w:rPr>
      </w:pPr>
      <w:r w:rsidRPr="00440947">
        <w:rPr>
          <w:rFonts w:ascii="Segoe UI" w:eastAsia="MyriadPro-Regular" w:hAnsi="Segoe UI" w:cs="Segoe UI"/>
          <w:sz w:val="18"/>
          <w:szCs w:val="18"/>
        </w:rPr>
        <w:t>Érvényes: 2014. január 1-től visszavonásig</w:t>
      </w:r>
    </w:p>
    <w:p w:rsidR="00360100" w:rsidRPr="00440947" w:rsidRDefault="00360100">
      <w:pPr>
        <w:rPr>
          <w:rFonts w:ascii="Segoe UI" w:hAnsi="Segoe UI" w:cs="Segoe UI"/>
        </w:rPr>
      </w:pPr>
    </w:p>
    <w:sectPr w:rsidR="00360100" w:rsidRPr="00440947" w:rsidSect="00360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MyriadPro-Regular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MyriadPro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0D18"/>
    <w:multiLevelType w:val="hybridMultilevel"/>
    <w:tmpl w:val="EE98FB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44E0"/>
    <w:multiLevelType w:val="hybridMultilevel"/>
    <w:tmpl w:val="EBF6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05B8C"/>
    <w:multiLevelType w:val="hybridMultilevel"/>
    <w:tmpl w:val="70C81D64"/>
    <w:lvl w:ilvl="0" w:tplc="C8CCA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40947"/>
    <w:rsid w:val="00360100"/>
    <w:rsid w:val="00440947"/>
    <w:rsid w:val="0095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094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0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2061</Words>
  <Characters>14224</Characters>
  <Application>Microsoft Office Word</Application>
  <DocSecurity>0</DocSecurity>
  <Lines>118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Kürti István</dc:creator>
  <cp:lastModifiedBy>Kürti István</cp:lastModifiedBy>
  <cp:revision>1</cp:revision>
  <dcterms:created xsi:type="dcterms:W3CDTF">2017-05-03T15:23:00Z</dcterms:created>
  <dcterms:modified xsi:type="dcterms:W3CDTF">2017-05-03T15:34:00Z</dcterms:modified>
</cp:coreProperties>
</file>